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67B284CA" w14:textId="33769F14" w:rsidR="008D1036" w:rsidRPr="008D1036" w:rsidRDefault="008D1036" w:rsidP="008D1036">
      <w:pPr>
        <w:jc w:val="center"/>
        <w:rPr>
          <w:rFonts w:asciiTheme="minorHAnsi" w:hAnsiTheme="minorHAnsi" w:cstheme="minorHAnsi"/>
          <w:i/>
          <w:sz w:val="20"/>
        </w:rPr>
      </w:pPr>
    </w:p>
    <w:p w14:paraId="469D33AA" w14:textId="23746528" w:rsidR="008D1036" w:rsidRPr="008D1036" w:rsidRDefault="005C3AF2" w:rsidP="008D10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Mateřská škola </w:t>
      </w:r>
      <w:proofErr w:type="spellStart"/>
      <w:r>
        <w:rPr>
          <w:rFonts w:asciiTheme="minorHAnsi" w:hAnsiTheme="minorHAnsi" w:cstheme="minorHAnsi"/>
        </w:rPr>
        <w:t>Levínská</w:t>
      </w:r>
      <w:proofErr w:type="spellEnd"/>
      <w:r>
        <w:rPr>
          <w:rFonts w:asciiTheme="minorHAnsi" w:hAnsiTheme="minorHAnsi" w:cstheme="minorHAnsi"/>
        </w:rPr>
        <w:t xml:space="preserve"> Olešnice, příspěvková organizace </w:t>
      </w:r>
      <w:proofErr w:type="spellStart"/>
      <w:r>
        <w:rPr>
          <w:rFonts w:asciiTheme="minorHAnsi" w:hAnsiTheme="minorHAnsi" w:cstheme="minorHAnsi"/>
        </w:rPr>
        <w:t>Levínská</w:t>
      </w:r>
      <w:proofErr w:type="spellEnd"/>
      <w:r>
        <w:rPr>
          <w:rFonts w:asciiTheme="minorHAnsi" w:hAnsiTheme="minorHAnsi" w:cstheme="minorHAnsi"/>
        </w:rPr>
        <w:t xml:space="preserve"> Olešnice 151, 514 01 Jilemnice</w:t>
      </w:r>
      <w:r w:rsidR="008D1036"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0C4D3C9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14:paraId="29FDA1BC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0232695D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14:paraId="22EA748A" w14:textId="358EDB6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5C3AF2">
        <w:rPr>
          <w:rFonts w:asciiTheme="minorHAnsi" w:hAnsiTheme="minorHAnsi" w:cstheme="minorHAnsi"/>
          <w:sz w:val="22"/>
        </w:rPr>
        <w:t xml:space="preserve">mateřská </w:t>
      </w:r>
      <w:r w:rsidR="0093593F">
        <w:rPr>
          <w:rFonts w:asciiTheme="minorHAnsi" w:hAnsiTheme="minorHAnsi" w:cstheme="minorHAnsi"/>
          <w:sz w:val="22"/>
        </w:rPr>
        <w:t>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43D6444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586D3743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70EDE7A5" w14:textId="0197DEEB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lastRenderedPageBreak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43C5E11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1. V případě mimořádně rozsáhlého vyhledání informací se úhrada po</w:t>
      </w:r>
      <w:r w:rsidR="005C3AF2">
        <w:rPr>
          <w:rFonts w:asciiTheme="minorHAnsi" w:hAnsiTheme="minorHAnsi" w:cstheme="minorHAnsi"/>
          <w:sz w:val="22"/>
        </w:rPr>
        <w:t xml:space="preserve">žaduje za vyhledávání delší než 3 </w:t>
      </w:r>
      <w:r w:rsidRPr="00D672DC">
        <w:rPr>
          <w:rFonts w:asciiTheme="minorHAnsi" w:hAnsiTheme="minorHAnsi" w:cstheme="minorHAnsi"/>
          <w:sz w:val="22"/>
        </w:rPr>
        <w:t>hodin. Úhrada za hodinu vy</w:t>
      </w:r>
      <w:r w:rsidR="005C3AF2">
        <w:rPr>
          <w:rFonts w:asciiTheme="minorHAnsi" w:hAnsiTheme="minorHAnsi" w:cstheme="minorHAnsi"/>
          <w:sz w:val="22"/>
        </w:rPr>
        <w:t>hledávání jedním pracovníkem je 99</w:t>
      </w:r>
      <w:r w:rsidRPr="00D672DC">
        <w:rPr>
          <w:rFonts w:asciiTheme="minorHAnsi" w:hAnsiTheme="minorHAnsi" w:cstheme="minorHAnsi"/>
          <w:sz w:val="22"/>
        </w:rPr>
        <w:t>,- Kč, započítává se každých i započatých 30 minut. Úhrada je odvozena od ročních n</w:t>
      </w:r>
      <w:r w:rsidR="005C3AF2">
        <w:rPr>
          <w:rFonts w:asciiTheme="minorHAnsi" w:hAnsiTheme="minorHAnsi" w:cstheme="minorHAnsi"/>
          <w:sz w:val="22"/>
        </w:rPr>
        <w:t xml:space="preserve">ákladů na platy zaměstnanců mateřské </w:t>
      </w:r>
      <w:r w:rsidR="0093593F">
        <w:rPr>
          <w:rFonts w:asciiTheme="minorHAnsi" w:hAnsiTheme="minorHAnsi" w:cstheme="minorHAnsi"/>
          <w:sz w:val="22"/>
        </w:rPr>
        <w:t>školky</w:t>
      </w:r>
      <w:r w:rsidRPr="00D672DC">
        <w:rPr>
          <w:rFonts w:asciiTheme="minorHAnsi" w:hAnsiTheme="minorHAnsi" w:cstheme="minorHAnsi"/>
          <w:sz w:val="22"/>
        </w:rPr>
        <w:t xml:space="preserve">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18D31D0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1. Celková výše úhrady je součtem jednotlivých nákladů spojených s poskytnutím požadovaných informací. Do celkové výše 100,- Kč nebude úhrada požadována</w:t>
      </w:r>
      <w:r w:rsidR="005C3AF2">
        <w:rPr>
          <w:rFonts w:asciiTheme="minorHAnsi" w:hAnsiTheme="minorHAnsi" w:cstheme="minorHAnsi"/>
          <w:sz w:val="22"/>
        </w:rPr>
        <w:t xml:space="preserve">, pokud žadatel nepodal po dobu jednoho měsíce </w:t>
      </w:r>
      <w:r w:rsidRPr="00D672DC">
        <w:rPr>
          <w:rFonts w:asciiTheme="minorHAnsi" w:hAnsiTheme="minorHAnsi" w:cstheme="minorHAnsi"/>
          <w:sz w:val="22"/>
        </w:rPr>
        <w:t>od podání předchozí žádosti další žádost.</w:t>
      </w:r>
    </w:p>
    <w:p w14:paraId="53328796" w14:textId="1C6AAB5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</w:t>
      </w:r>
      <w:r w:rsidR="005C3AF2">
        <w:rPr>
          <w:rFonts w:asciiTheme="minorHAnsi" w:hAnsiTheme="minorHAnsi" w:cstheme="minorHAnsi"/>
          <w:sz w:val="22"/>
        </w:rPr>
        <w:t xml:space="preserve">tního zřetele může </w:t>
      </w:r>
      <w:r w:rsidR="0093593F">
        <w:rPr>
          <w:rFonts w:asciiTheme="minorHAnsi" w:hAnsiTheme="minorHAnsi" w:cstheme="minorHAnsi"/>
          <w:sz w:val="22"/>
        </w:rPr>
        <w:t>ředitel školky</w:t>
      </w:r>
      <w:r w:rsidRPr="00D672DC">
        <w:rPr>
          <w:rFonts w:asciiTheme="minorHAnsi" w:hAnsiTheme="minorHAnsi" w:cstheme="minorHAnsi"/>
          <w:sz w:val="22"/>
        </w:rPr>
        <w:t xml:space="preserve"> od úhrady nákladů zcela nebo zčásti upustit na základě žádosti žadatele. </w:t>
      </w:r>
    </w:p>
    <w:p w14:paraId="54886CAB" w14:textId="77B67B7C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</w:t>
      </w:r>
      <w:r w:rsidR="005C3AF2">
        <w:rPr>
          <w:rFonts w:asciiTheme="minorHAnsi" w:hAnsiTheme="minorHAnsi" w:cstheme="minorHAnsi"/>
          <w:sz w:val="22"/>
        </w:rPr>
        <w:t xml:space="preserve">ovosti v pokladně mateřské školy </w:t>
      </w:r>
      <w:r w:rsidRPr="00D672DC">
        <w:rPr>
          <w:rFonts w:asciiTheme="minorHAnsi" w:hAnsiTheme="minorHAnsi" w:cstheme="minorHAnsi"/>
          <w:sz w:val="22"/>
        </w:rPr>
        <w:t xml:space="preserve">v úředních </w:t>
      </w:r>
      <w:proofErr w:type="gramStart"/>
      <w:r w:rsidRPr="00D672DC">
        <w:rPr>
          <w:rFonts w:asciiTheme="minorHAnsi" w:hAnsiTheme="minorHAnsi" w:cstheme="minorHAnsi"/>
          <w:sz w:val="22"/>
        </w:rPr>
        <w:t>hodinách neb</w:t>
      </w:r>
      <w:r w:rsidR="005C3AF2">
        <w:rPr>
          <w:rFonts w:asciiTheme="minorHAnsi" w:hAnsiTheme="minorHAnsi" w:cstheme="minorHAnsi"/>
          <w:sz w:val="22"/>
        </w:rPr>
        <w:t>o</w:t>
      </w:r>
      <w:proofErr w:type="gramEnd"/>
      <w:r w:rsidR="005C3AF2">
        <w:rPr>
          <w:rFonts w:asciiTheme="minorHAnsi" w:hAnsiTheme="minorHAnsi" w:cstheme="minorHAnsi"/>
          <w:sz w:val="22"/>
        </w:rPr>
        <w:t xml:space="preserve"> převodem na bankovní účet </w:t>
      </w:r>
      <w:r w:rsidR="0093593F">
        <w:rPr>
          <w:rFonts w:asciiTheme="minorHAnsi" w:hAnsiTheme="minorHAnsi" w:cstheme="minorHAnsi"/>
          <w:sz w:val="22"/>
        </w:rPr>
        <w:t>školky</w:t>
      </w:r>
      <w:r w:rsidRPr="00D672DC">
        <w:rPr>
          <w:rFonts w:asciiTheme="minorHAnsi" w:hAnsiTheme="minorHAnsi" w:cstheme="minorHAnsi"/>
          <w:sz w:val="22"/>
        </w:rPr>
        <w:t xml:space="preserve"> zveřejněný</w:t>
      </w:r>
      <w:r w:rsidR="005C3AF2">
        <w:rPr>
          <w:rFonts w:asciiTheme="minorHAnsi" w:hAnsiTheme="minorHAnsi" w:cstheme="minorHAnsi"/>
          <w:sz w:val="22"/>
        </w:rPr>
        <w:t xml:space="preserve"> na webových stránkách školy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10BDBA89" w14:textId="1EEEBD9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Tento sazebník se stanoví na účetní obdob</w:t>
      </w:r>
      <w:r w:rsidR="005C3AF2">
        <w:rPr>
          <w:rFonts w:asciiTheme="minorHAnsi" w:hAnsiTheme="minorHAnsi" w:cstheme="minorHAnsi"/>
          <w:sz w:val="22"/>
        </w:rPr>
        <w:t>í 2018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9A9C826" w14:textId="6EDBC0C5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5. Sazebník byl schvá</w:t>
      </w:r>
      <w:r w:rsidR="00B37A47">
        <w:rPr>
          <w:rFonts w:asciiTheme="minorHAnsi" w:hAnsiTheme="minorHAnsi" w:cstheme="minorHAnsi"/>
          <w:sz w:val="22"/>
        </w:rPr>
        <w:t xml:space="preserve">len dne </w:t>
      </w:r>
      <w:proofErr w:type="gramStart"/>
      <w:r w:rsidR="00B37A47">
        <w:rPr>
          <w:rFonts w:asciiTheme="minorHAnsi" w:hAnsiTheme="minorHAnsi" w:cstheme="minorHAnsi"/>
          <w:sz w:val="22"/>
        </w:rPr>
        <w:t>22.5.2018</w:t>
      </w:r>
      <w:proofErr w:type="gramEnd"/>
      <w:r w:rsidR="00B37A47">
        <w:rPr>
          <w:rFonts w:asciiTheme="minorHAnsi" w:hAnsiTheme="minorHAnsi" w:cstheme="minorHAnsi"/>
          <w:sz w:val="22"/>
        </w:rPr>
        <w:t xml:space="preserve"> ředitelkou školy.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2AFB15C6" w14:textId="69C857D1" w:rsidR="008D1036" w:rsidRDefault="00B37A47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 Levínské Olešnici dne </w:t>
      </w:r>
      <w:proofErr w:type="gramStart"/>
      <w:r>
        <w:rPr>
          <w:rFonts w:asciiTheme="minorHAnsi" w:hAnsiTheme="minorHAnsi" w:cstheme="minorHAnsi"/>
          <w:sz w:val="22"/>
        </w:rPr>
        <w:t>22.5.2018</w:t>
      </w:r>
      <w:proofErr w:type="gramEnd"/>
    </w:p>
    <w:p w14:paraId="33FA98C3" w14:textId="2FC34F8D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1230030B" w14:textId="1DB05E8F" w:rsidR="008D1036" w:rsidRPr="00D672DC" w:rsidRDefault="00B37A47" w:rsidP="00B37A47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ředitelka mateřské školy</w:t>
      </w:r>
      <w:bookmarkStart w:id="0" w:name="_GoBack"/>
      <w:bookmarkEnd w:id="0"/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2E42" w14:textId="77777777" w:rsidR="00046D3A" w:rsidRDefault="00046D3A">
      <w:r>
        <w:separator/>
      </w:r>
    </w:p>
  </w:endnote>
  <w:endnote w:type="continuationSeparator" w:id="0">
    <w:p w14:paraId="12E33A44" w14:textId="77777777" w:rsidR="00046D3A" w:rsidRDefault="0004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7A47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3BE87" w14:textId="77777777" w:rsidR="00046D3A" w:rsidRDefault="00046D3A">
      <w:r>
        <w:separator/>
      </w:r>
    </w:p>
  </w:footnote>
  <w:footnote w:type="continuationSeparator" w:id="0">
    <w:p w14:paraId="229AE167" w14:textId="77777777" w:rsidR="00046D3A" w:rsidRDefault="0004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46D3A"/>
    <w:rsid w:val="00097867"/>
    <w:rsid w:val="000E6575"/>
    <w:rsid w:val="001215E0"/>
    <w:rsid w:val="001C6ACE"/>
    <w:rsid w:val="001F2538"/>
    <w:rsid w:val="00205FA9"/>
    <w:rsid w:val="002650A8"/>
    <w:rsid w:val="002B2CB6"/>
    <w:rsid w:val="0033501F"/>
    <w:rsid w:val="00397BFD"/>
    <w:rsid w:val="003D3E63"/>
    <w:rsid w:val="00430957"/>
    <w:rsid w:val="00456A46"/>
    <w:rsid w:val="004B34FC"/>
    <w:rsid w:val="004D69D4"/>
    <w:rsid w:val="005C3AF2"/>
    <w:rsid w:val="00620649"/>
    <w:rsid w:val="006754F1"/>
    <w:rsid w:val="006B7F5A"/>
    <w:rsid w:val="00710558"/>
    <w:rsid w:val="008052AC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37A47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B7E8D-C8C8-4A11-8514-6FE84F95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737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Beáta Dundová</cp:lastModifiedBy>
  <cp:revision>5</cp:revision>
  <cp:lastPrinted>1899-12-31T23:00:00Z</cp:lastPrinted>
  <dcterms:created xsi:type="dcterms:W3CDTF">2018-05-20T21:30:00Z</dcterms:created>
  <dcterms:modified xsi:type="dcterms:W3CDTF">2018-09-30T17:38:00Z</dcterms:modified>
</cp:coreProperties>
</file>